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绥芬河市商务局“证照分离”改革事项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具体措施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一、事项名称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（一）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对外贸易经营者备案登记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  <w:lang w:eastAsia="zh-CN"/>
        </w:rPr>
        <w:t>二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）石油成品油批发仓储经营资格初审及审批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  <w:lang w:eastAsia="zh-CN"/>
        </w:rPr>
        <w:t>三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）从事拍卖业务许可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  <w:lang w:eastAsia="zh-CN"/>
        </w:rPr>
        <w:t>四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）报废机动车回收（拆解）企业资质认定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  <w:lang w:eastAsia="zh-CN"/>
        </w:rPr>
        <w:t>五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）成品油零售经营资格审批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  <w:lang w:eastAsia="zh-CN"/>
        </w:rPr>
        <w:t>六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auto" w:fill="auto"/>
        </w:rPr>
        <w:t>）直销企业及其分支机构设立和变更审批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（七）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援外项目实施企业资格认定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（八）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进出口国营贸易经营资格认定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（九）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供港澳活畜禽经营权审批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（十）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对外劳务合作经营资格核准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二、改革措施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（一）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对外贸易经营者备案登记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根据全国人大常委会授权决定，暂时调整适用《中华人民共和国对外贸易法》关于“对外贸易经营者备案登记”的规定，取消“对外贸易经营者备案登记”。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石油成品油批发仓储经营资格初审及审批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暂时调整适用《国务院对确需保留的行政审批项目设定行政许可的决定》关于“石油成品油批发经营资格审批”的规定，取消初审。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（三）从事拍卖业务许可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1.不再要求申请人提供法定代表人证明材料。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2.对申请从事拍卖业务应当具备的条件和能力（法人资格、注册资本、固定场所、拟聘任拍卖师和相应管理制度等要求）实行告知承诺，发证前不再进行实质性审查，当场作出审批决定。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（四）报废机动车回收（拆解）企业资质认定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除《报废机动车回收管理办法》（国务院令第715号，2019年6月1日出台）中规定的取得报废机动车回收资质认定条件外，取消其他报废机动车回收企业资质认定条件。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（五）成品油零售经营资格审批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1.贯彻落实国办发〔2019〕42号文件要求，将成品油零售经营资格审批下放至地市级人民政府。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2.取消申请企业提交成品油供应渠道法律文件相关要求。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（六）直销企业及其分支机构设立和变更审批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1.制定并公开办事指南，在网上公开审批依据、申请条件、申请材料、办理流程和办理结果。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2.推进“互联网+政务服务”，推动部门间信息共享应用。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（七）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援外项目实施企业资格认定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严格按照商务部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  <w:t>援外项目实施企业资格认定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要求办理。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进出口国营贸易经营资格认定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严格按照商务部关于进出口国营贸易经营资格认定要求办理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供港澳活畜禽经营权审批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严格按照商务部关于供港澳活畜禽经营权审批要求办理。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（十）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highlight w:val="none"/>
          <w:shd w:val="clear" w:color="auto" w:fill="auto"/>
        </w:rPr>
        <w:t>对外劳务合作经营资格核准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严格按照省商务厅关于对外劳务合作经营资格核准要求办理。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83F326"/>
    <w:multiLevelType w:val="singleLevel"/>
    <w:tmpl w:val="5F83F326"/>
    <w:lvl w:ilvl="0" w:tentative="0">
      <w:start w:val="8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43074"/>
    <w:rsid w:val="1D424072"/>
    <w:rsid w:val="34942695"/>
    <w:rsid w:val="48FB5417"/>
    <w:rsid w:val="56F2353D"/>
    <w:rsid w:val="5C77668B"/>
    <w:rsid w:val="6418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2020-10-10T08:22:00Z</dcterms:created>
  <dc:creator>zb</dc:creator>
  <cp:lastModifiedBy>lenovo</cp:lastModifiedBy>
  <cp:lastPrinted>2020-10-12T05:45:00Z</cp:lastPrinted>
  <dcterms:modified xsi:type="dcterms:W3CDTF">2020-10-12T07:11:31Z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